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0FDA46FA" w:rsidR="00B85C67" w:rsidRDefault="00594DD0" w:rsidP="00B85C67">
      <w:pPr>
        <w:rPr>
          <w:rFonts w:eastAsia="Times New Roman"/>
        </w:rPr>
      </w:pPr>
      <w:r>
        <w:rPr>
          <w:rFonts w:ascii="Arial" w:hAnsi="Arial" w:cs="Arial"/>
          <w:b/>
          <w:bCs/>
          <w:sz w:val="20"/>
          <w:szCs w:val="20"/>
        </w:rPr>
        <w:t xml:space="preserve">3GPP TSG RAN WG1 </w:t>
      </w:r>
      <w:r w:rsidR="00146024">
        <w:rPr>
          <w:rFonts w:ascii="Arial" w:hAnsi="Arial" w:cs="Arial"/>
          <w:b/>
          <w:bCs/>
          <w:sz w:val="20"/>
          <w:szCs w:val="20"/>
        </w:rPr>
        <w:t xml:space="preserve">Ad-Hoc </w:t>
      </w:r>
      <w:r>
        <w:rPr>
          <w:rFonts w:ascii="Arial" w:hAnsi="Arial" w:cs="Arial"/>
          <w:b/>
          <w:bCs/>
          <w:sz w:val="20"/>
          <w:szCs w:val="20"/>
        </w:rPr>
        <w:t xml:space="preserve">Meeting </w:t>
      </w:r>
      <w:r w:rsidR="00146024">
        <w:rPr>
          <w:rFonts w:ascii="Arial" w:hAnsi="Arial" w:cs="Arial"/>
          <w:b/>
          <w:bCs/>
          <w:sz w:val="20"/>
          <w:szCs w:val="20"/>
        </w:rPr>
        <w:t>1901</w:t>
      </w:r>
      <w:r w:rsidR="00B11415" w:rsidRPr="00B11415">
        <w:rPr>
          <w:rFonts w:ascii="Arial" w:hAnsi="Arial" w:cs="Arial"/>
          <w:b/>
          <w:bCs/>
          <w:sz w:val="20"/>
          <w:szCs w:val="20"/>
        </w:rPr>
        <w:t xml:space="preserve"> </w:t>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1B339B">
        <w:rPr>
          <w:rFonts w:ascii="Arial" w:hAnsi="Arial" w:cs="Arial"/>
          <w:b/>
          <w:bCs/>
          <w:sz w:val="20"/>
          <w:szCs w:val="20"/>
        </w:rPr>
        <w:t>R1-1</w:t>
      </w:r>
      <w:r w:rsidR="00146024">
        <w:rPr>
          <w:rFonts w:ascii="Arial" w:hAnsi="Arial" w:cs="Arial"/>
          <w:b/>
          <w:bCs/>
          <w:sz w:val="20"/>
          <w:szCs w:val="20"/>
        </w:rPr>
        <w:t>900740</w:t>
      </w:r>
    </w:p>
    <w:p w14:paraId="2A527F7E" w14:textId="259D444B" w:rsidR="00B11415" w:rsidRPr="00B11415" w:rsidRDefault="00146024"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Taipei</w:t>
      </w:r>
      <w:r w:rsidR="00F27102">
        <w:rPr>
          <w:rFonts w:ascii="Arial" w:eastAsia="MS Mincho" w:hAnsi="Arial" w:cs="Arial"/>
          <w:b/>
          <w:bCs/>
          <w:sz w:val="20"/>
          <w:szCs w:val="20"/>
          <w:lang w:eastAsia="ja-JP"/>
        </w:rPr>
        <w:t xml:space="preserve">, </w:t>
      </w:r>
      <w:r>
        <w:rPr>
          <w:rFonts w:ascii="Arial" w:eastAsia="MS Mincho" w:hAnsi="Arial" w:cs="Arial"/>
          <w:b/>
          <w:bCs/>
          <w:sz w:val="20"/>
          <w:szCs w:val="20"/>
          <w:lang w:eastAsia="ja-JP"/>
        </w:rPr>
        <w:t>Taiwan</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21</w:t>
      </w:r>
      <w:r w:rsidRPr="00146024">
        <w:rPr>
          <w:rFonts w:ascii="Arial" w:eastAsia="MS Mincho" w:hAnsi="Arial" w:cs="Arial"/>
          <w:b/>
          <w:bCs/>
          <w:sz w:val="20"/>
          <w:szCs w:val="20"/>
          <w:vertAlign w:val="superscript"/>
          <w:lang w:eastAsia="ja-JP"/>
        </w:rPr>
        <w:t>st</w:t>
      </w:r>
      <w:r>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Pr>
          <w:rFonts w:ascii="Arial" w:eastAsia="MS Mincho" w:hAnsi="Arial" w:cs="Arial"/>
          <w:b/>
          <w:bCs/>
          <w:sz w:val="20"/>
          <w:szCs w:val="20"/>
          <w:lang w:eastAsia="ja-JP"/>
        </w:rPr>
        <w:t>25</w:t>
      </w:r>
      <w:r w:rsidR="009A162F" w:rsidRPr="009A162F">
        <w:rPr>
          <w:rFonts w:ascii="Arial" w:eastAsia="MS Mincho" w:hAnsi="Arial" w:cs="Arial"/>
          <w:b/>
          <w:bCs/>
          <w:sz w:val="20"/>
          <w:szCs w:val="20"/>
          <w:vertAlign w:val="superscript"/>
          <w:lang w:eastAsia="ja-JP"/>
        </w:rPr>
        <w:t>th</w:t>
      </w:r>
      <w:r>
        <w:rPr>
          <w:rFonts w:ascii="Arial" w:eastAsia="MS Mincho" w:hAnsi="Arial" w:cs="Arial"/>
          <w:b/>
          <w:bCs/>
          <w:sz w:val="20"/>
          <w:szCs w:val="20"/>
          <w:lang w:eastAsia="ja-JP"/>
        </w:rPr>
        <w:t xml:space="preserve"> January,</w:t>
      </w:r>
      <w:r w:rsidR="00594DD0">
        <w:rPr>
          <w:rFonts w:ascii="Arial" w:eastAsia="MS Mincho" w:hAnsi="Arial" w:cs="Arial"/>
          <w:b/>
          <w:bCs/>
          <w:sz w:val="20"/>
          <w:szCs w:val="20"/>
          <w:lang w:eastAsia="ja-JP"/>
        </w:rPr>
        <w:t xml:space="preserve"> 201</w:t>
      </w:r>
      <w:r>
        <w:rPr>
          <w:rFonts w:ascii="Arial" w:eastAsia="MS Mincho" w:hAnsi="Arial" w:cs="Arial"/>
          <w:b/>
          <w:bCs/>
          <w:sz w:val="20"/>
          <w:szCs w:val="20"/>
          <w:lang w:eastAsia="ja-JP"/>
        </w:rPr>
        <w:t>9</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47B6CE0E"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9D0FAF">
        <w:rPr>
          <w:sz w:val="22"/>
          <w:szCs w:val="22"/>
        </w:rPr>
        <w:t>2</w:t>
      </w:r>
      <w:r w:rsidR="00A91F87">
        <w:rPr>
          <w:sz w:val="22"/>
          <w:szCs w:val="22"/>
        </w:rPr>
        <w:t>.2</w:t>
      </w:r>
      <w:r w:rsidR="009D0FAF">
        <w:rPr>
          <w:sz w:val="22"/>
          <w:szCs w:val="22"/>
        </w:rPr>
        <w:t>.</w:t>
      </w:r>
      <w:r w:rsidR="00146024">
        <w:rPr>
          <w:sz w:val="22"/>
          <w:szCs w:val="22"/>
        </w:rPr>
        <w:t>1.2</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573AD25A" w:rsidR="008E401E" w:rsidRDefault="003D3C45" w:rsidP="00311702">
      <w:pPr>
        <w:pStyle w:val="3GPPHeader"/>
        <w:rPr>
          <w:sz w:val="22"/>
          <w:szCs w:val="22"/>
        </w:rPr>
      </w:pPr>
      <w:r w:rsidRPr="00315C6E">
        <w:rPr>
          <w:sz w:val="22"/>
          <w:szCs w:val="22"/>
        </w:rPr>
        <w:t>Title:</w:t>
      </w:r>
      <w:r w:rsidR="00E90E49" w:rsidRPr="00315C6E">
        <w:rPr>
          <w:sz w:val="22"/>
          <w:szCs w:val="22"/>
        </w:rPr>
        <w:tab/>
      </w:r>
      <w:r w:rsidR="000D0D1B">
        <w:rPr>
          <w:sz w:val="22"/>
          <w:szCs w:val="22"/>
        </w:rPr>
        <w:t>Initial signals</w:t>
      </w:r>
      <w:r w:rsidR="009D0FAF">
        <w:rPr>
          <w:sz w:val="22"/>
          <w:szCs w:val="22"/>
        </w:rPr>
        <w:t xml:space="preserve">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24E4E0E5" w14:textId="23A8D97A" w:rsidR="0047688B" w:rsidRDefault="007A449C" w:rsidP="008B4716">
      <w:pPr>
        <w:jc w:val="both"/>
      </w:pPr>
      <w:r>
        <w:t>RAN #82 officially approved R16 work item on NR-based access to unlicensed spectrum</w:t>
      </w:r>
      <w:r w:rsidR="008B4716">
        <w:t>.</w:t>
      </w:r>
      <w:r w:rsidR="0047688B">
        <w:t xml:space="preserve"> As part of the agreed WI objectives</w:t>
      </w:r>
      <w:r w:rsidR="00F63E25">
        <w:t xml:space="preserve"> </w:t>
      </w:r>
      <w:r w:rsidR="00F63E25">
        <w:fldChar w:fldCharType="begin"/>
      </w:r>
      <w:r w:rsidR="00F63E25">
        <w:instrText xml:space="preserve"> REF _Ref506552387 \n \h </w:instrText>
      </w:r>
      <w:r w:rsidR="00F63E25">
        <w:fldChar w:fldCharType="separate"/>
      </w:r>
      <w:r w:rsidR="000F60C1">
        <w:t>[1]</w:t>
      </w:r>
      <w:r w:rsidR="00F63E25">
        <w:fldChar w:fldCharType="end"/>
      </w:r>
      <w:r w:rsidR="0047688B">
        <w:t>, the following will be specified:</w:t>
      </w:r>
    </w:p>
    <w:p w14:paraId="146B736A" w14:textId="77777777" w:rsidR="0047688B" w:rsidRDefault="0047688B" w:rsidP="008B4716">
      <w:pPr>
        <w:jc w:val="both"/>
      </w:pPr>
    </w:p>
    <w:tbl>
      <w:tblPr>
        <w:tblStyle w:val="TableGrid"/>
        <w:tblW w:w="0" w:type="auto"/>
        <w:tblLook w:val="04A0" w:firstRow="1" w:lastRow="0" w:firstColumn="1" w:lastColumn="0" w:noHBand="0" w:noVBand="1"/>
      </w:tblPr>
      <w:tblGrid>
        <w:gridCol w:w="9629"/>
      </w:tblGrid>
      <w:tr w:rsidR="0047688B" w14:paraId="32564DFD" w14:textId="77777777" w:rsidTr="0047688B">
        <w:tc>
          <w:tcPr>
            <w:tcW w:w="9629" w:type="dxa"/>
          </w:tcPr>
          <w:p w14:paraId="0A6A7D51" w14:textId="33FABA47" w:rsidR="0047688B" w:rsidRDefault="0047688B" w:rsidP="0047688B">
            <w:pPr>
              <w:pStyle w:val="ListParagraph"/>
              <w:numPr>
                <w:ilvl w:val="0"/>
                <w:numId w:val="38"/>
              </w:numPr>
              <w:jc w:val="both"/>
            </w:pPr>
            <w:r w:rsidRPr="00CC7C5D">
              <w:rPr>
                <w:lang w:eastAsia="ja-JP"/>
              </w:rPr>
              <w:t xml:space="preserve">Mechanism to </w:t>
            </w:r>
            <w:r>
              <w:rPr>
                <w:lang w:eastAsia="ja-JP"/>
              </w:rPr>
              <w:t xml:space="preserve">detect </w:t>
            </w:r>
            <w:r w:rsidRPr="00645A29">
              <w:rPr>
                <w:lang w:eastAsia="ja-JP"/>
              </w:rPr>
              <w:t xml:space="preserve">a </w:t>
            </w:r>
            <w:proofErr w:type="spellStart"/>
            <w:r w:rsidRPr="00645A29">
              <w:rPr>
                <w:lang w:eastAsia="ja-JP"/>
              </w:rPr>
              <w:t>gNB</w:t>
            </w:r>
            <w:r>
              <w:rPr>
                <w:lang w:eastAsia="ja-JP"/>
              </w:rPr>
              <w:t>’s</w:t>
            </w:r>
            <w:proofErr w:type="spellEnd"/>
            <w:r w:rsidRPr="00645A29">
              <w:rPr>
                <w:lang w:eastAsia="ja-JP"/>
              </w:rPr>
              <w:t xml:space="preserve"> transmission burst in line with </w:t>
            </w:r>
            <w:bookmarkStart w:id="0" w:name="_Hlk532422148"/>
            <w:r w:rsidRPr="00645A29">
              <w:rPr>
                <w:lang w:eastAsia="ja-JP"/>
              </w:rPr>
              <w:t>the TR 38.889, Section 7.2.1.2</w:t>
            </w:r>
            <w:bookmarkEnd w:id="0"/>
            <w:r>
              <w:rPr>
                <w:lang w:eastAsia="ja-JP"/>
              </w:rPr>
              <w:t xml:space="preserve"> related to UE power consumption</w:t>
            </w:r>
          </w:p>
        </w:tc>
      </w:tr>
    </w:tbl>
    <w:p w14:paraId="0E210350" w14:textId="4A652262" w:rsidR="008B4716" w:rsidRDefault="008B4716" w:rsidP="008B4716">
      <w:pPr>
        <w:jc w:val="both"/>
      </w:pPr>
      <w:r>
        <w:t xml:space="preserve">   </w:t>
      </w:r>
    </w:p>
    <w:p w14:paraId="2EACFD34" w14:textId="77777777" w:rsidR="006C3EA8" w:rsidRDefault="006C3EA8" w:rsidP="009A28B6">
      <w:pPr>
        <w:jc w:val="both"/>
      </w:pPr>
    </w:p>
    <w:p w14:paraId="0F205FB7" w14:textId="0C098834" w:rsidR="0095540B" w:rsidRDefault="00F63E25" w:rsidP="00F63E25">
      <w:pPr>
        <w:pStyle w:val="bullet"/>
        <w:numPr>
          <w:ilvl w:val="0"/>
          <w:numId w:val="0"/>
        </w:numPr>
        <w:rPr>
          <w:sz w:val="24"/>
        </w:rPr>
      </w:pPr>
      <w:r>
        <w:rPr>
          <w:sz w:val="24"/>
        </w:rPr>
        <w:t>Specifically, in TR 38.889, the following proposals, as previously discussed in RAN1, were captured:</w:t>
      </w:r>
    </w:p>
    <w:p w14:paraId="64BAE5D7" w14:textId="1A938EE6" w:rsidR="00F63E25" w:rsidRDefault="00F63E25" w:rsidP="00F63E25">
      <w:pPr>
        <w:pStyle w:val="bullet"/>
        <w:numPr>
          <w:ilvl w:val="0"/>
          <w:numId w:val="38"/>
        </w:numPr>
        <w:rPr>
          <w:sz w:val="24"/>
        </w:rPr>
      </w:pPr>
      <w:r>
        <w:rPr>
          <w:sz w:val="24"/>
        </w:rPr>
        <w:t>Existing NR signal(s) with potential enhancement(s)</w:t>
      </w:r>
    </w:p>
    <w:p w14:paraId="1DB8B771" w14:textId="59EE006F" w:rsidR="00F63E25" w:rsidRDefault="00F63E25" w:rsidP="00F63E25">
      <w:pPr>
        <w:pStyle w:val="bullet"/>
        <w:numPr>
          <w:ilvl w:val="0"/>
          <w:numId w:val="38"/>
        </w:numPr>
        <w:rPr>
          <w:sz w:val="24"/>
        </w:rPr>
      </w:pPr>
      <w:r>
        <w:rPr>
          <w:sz w:val="24"/>
        </w:rPr>
        <w:t>A channel such as PDCCH with potential enhancement(s)</w:t>
      </w:r>
    </w:p>
    <w:p w14:paraId="0183A38E" w14:textId="58DE2773" w:rsidR="00F63E25" w:rsidRPr="00F63E25" w:rsidRDefault="00F63E25" w:rsidP="00F63E25">
      <w:pPr>
        <w:pStyle w:val="bullet"/>
        <w:numPr>
          <w:ilvl w:val="0"/>
          <w:numId w:val="38"/>
        </w:numPr>
        <w:rPr>
          <w:sz w:val="24"/>
        </w:rPr>
      </w:pPr>
      <w:r>
        <w:rPr>
          <w:sz w:val="24"/>
        </w:rPr>
        <w:t>The 802.11a/802.11ax preamble with potential enhancement(s).</w:t>
      </w:r>
    </w:p>
    <w:p w14:paraId="0466F1CC" w14:textId="77777777" w:rsidR="0095540B" w:rsidRDefault="0095540B" w:rsidP="009A28B6">
      <w:pPr>
        <w:jc w:val="both"/>
      </w:pPr>
    </w:p>
    <w:p w14:paraId="0A75F70C" w14:textId="1C9A8758" w:rsidR="00CB65F8" w:rsidRDefault="003A47C5" w:rsidP="009A28B6">
      <w:pPr>
        <w:jc w:val="both"/>
      </w:pPr>
      <w:r>
        <w:t xml:space="preserve">In </w:t>
      </w:r>
      <w:r w:rsidR="00F63E25">
        <w:t>previous RAN1 meetings</w:t>
      </w:r>
      <w:r>
        <w:t xml:space="preserve">, several contributions </w:t>
      </w:r>
      <w:r w:rsidR="00AE7CCD">
        <w:t>were submitted discussing</w:t>
      </w:r>
      <w:r>
        <w:t xml:space="preserve"> the possible design and use cases of “initial signal”</w:t>
      </w:r>
      <w:r w:rsidR="00AE7CCD">
        <w:t xml:space="preserve"> (e.g. </w:t>
      </w:r>
      <w:r w:rsidR="00AE7CCD">
        <w:fldChar w:fldCharType="begin"/>
      </w:r>
      <w:r w:rsidR="00AE7CCD">
        <w:instrText xml:space="preserve"> REF _Ref525913885 \n \h </w:instrText>
      </w:r>
      <w:r w:rsidR="00AE7CCD">
        <w:fldChar w:fldCharType="separate"/>
      </w:r>
      <w:r w:rsidR="000F60C1">
        <w:t>[5]</w:t>
      </w:r>
      <w:r w:rsidR="00AE7CCD">
        <w:fldChar w:fldCharType="end"/>
      </w:r>
      <w:r w:rsidR="00AE7CCD">
        <w:fldChar w:fldCharType="begin"/>
      </w:r>
      <w:r w:rsidR="00AE7CCD">
        <w:instrText xml:space="preserve"> REF _Ref525913893 \n \h </w:instrText>
      </w:r>
      <w:r w:rsidR="00AE7CCD">
        <w:fldChar w:fldCharType="separate"/>
      </w:r>
      <w:r w:rsidR="000F60C1">
        <w:t>[6]</w:t>
      </w:r>
      <w:r w:rsidR="00AE7CCD">
        <w:fldChar w:fldCharType="end"/>
      </w:r>
      <w:r w:rsidR="00AE7CCD">
        <w:fldChar w:fldCharType="begin"/>
      </w:r>
      <w:r w:rsidR="00AE7CCD">
        <w:instrText xml:space="preserve"> REF _Ref525913895 \n \h </w:instrText>
      </w:r>
      <w:r w:rsidR="00AE7CCD">
        <w:fldChar w:fldCharType="separate"/>
      </w:r>
      <w:r w:rsidR="000F60C1">
        <w:t>[7]</w:t>
      </w:r>
      <w:r w:rsidR="00AE7CCD">
        <w:fldChar w:fldCharType="end"/>
      </w:r>
      <w:r w:rsidR="00AE7CCD">
        <w:fldChar w:fldCharType="begin"/>
      </w:r>
      <w:r w:rsidR="00AE7CCD">
        <w:instrText xml:space="preserve"> REF _Ref525913897 \n \h </w:instrText>
      </w:r>
      <w:r w:rsidR="00AE7CCD">
        <w:fldChar w:fldCharType="separate"/>
      </w:r>
      <w:r w:rsidR="000F60C1">
        <w:t>[8]</w:t>
      </w:r>
      <w:r w:rsidR="00AE7CCD">
        <w:fldChar w:fldCharType="end"/>
      </w:r>
      <w:r w:rsidR="00AE7CCD">
        <w:fldChar w:fldCharType="begin"/>
      </w:r>
      <w:r w:rsidR="00AE7CCD">
        <w:instrText xml:space="preserve"> REF _Ref510794934 \n \h </w:instrText>
      </w:r>
      <w:r w:rsidR="00AE7CCD">
        <w:fldChar w:fldCharType="separate"/>
      </w:r>
      <w:r w:rsidR="000F60C1">
        <w:t>[9]</w:t>
      </w:r>
      <w:r w:rsidR="00AE7CCD">
        <w:fldChar w:fldCharType="end"/>
      </w:r>
      <w:r w:rsidR="008C02EF">
        <w:t xml:space="preserve">). In addition, it was also discussed in RAN #81 </w:t>
      </w:r>
      <w:r w:rsidR="008C02EF">
        <w:fldChar w:fldCharType="begin"/>
      </w:r>
      <w:r w:rsidR="008C02EF">
        <w:instrText xml:space="preserve"> REF _Ref525914517 \n \h </w:instrText>
      </w:r>
      <w:r w:rsidR="008C02EF">
        <w:fldChar w:fldCharType="separate"/>
      </w:r>
      <w:r w:rsidR="000F60C1">
        <w:t>[10]</w:t>
      </w:r>
      <w:r w:rsidR="008C02EF">
        <w:fldChar w:fldCharType="end"/>
      </w:r>
      <w:r w:rsidR="008C02EF">
        <w:t xml:space="preserve"> that</w:t>
      </w:r>
      <w:r w:rsidR="00CB65F8">
        <w:t xml:space="preserve"> adopting a preamble mechanism should be studied for 5GHz band for improving intra and inter-operator NR-U sharing, as well as a new sharing framework should be studied for new unlicensed bands &lt;7GHz.</w:t>
      </w:r>
    </w:p>
    <w:p w14:paraId="7C56D8F3" w14:textId="6A933091" w:rsidR="0095540B" w:rsidRDefault="00CB65F8" w:rsidP="009A28B6">
      <w:pPr>
        <w:jc w:val="both"/>
      </w:pPr>
      <w:r>
        <w:t xml:space="preserve"> </w:t>
      </w:r>
    </w:p>
    <w:p w14:paraId="19C1B459" w14:textId="5392E804" w:rsidR="006C3EA8" w:rsidRDefault="009A28B6" w:rsidP="009A28B6">
      <w:pPr>
        <w:jc w:val="both"/>
      </w:pPr>
      <w:r>
        <w:t xml:space="preserve">In this contribution, we briefly discuss </w:t>
      </w:r>
      <w:r w:rsidR="00F63E25">
        <w:t xml:space="preserve">our view on the </w:t>
      </w:r>
      <w:r w:rsidR="00936CE0">
        <w:t xml:space="preserve">potential challenges and solutions to </w:t>
      </w:r>
      <w:r w:rsidR="000659B9">
        <w:t xml:space="preserve">DL </w:t>
      </w:r>
      <w:r w:rsidR="00936CE0">
        <w:t>channel design in unlicensed spectrum access</w:t>
      </w:r>
      <w:r w:rsidR="00E00C1E">
        <w:t>.</w:t>
      </w:r>
    </w:p>
    <w:p w14:paraId="20B2BA9C" w14:textId="77777777" w:rsidR="006F574B" w:rsidRDefault="006F574B" w:rsidP="006F21A8">
      <w:pPr>
        <w:jc w:val="both"/>
        <w:rPr>
          <w:b/>
          <w:i/>
          <w:sz w:val="20"/>
          <w:szCs w:val="20"/>
        </w:rPr>
      </w:pPr>
    </w:p>
    <w:p w14:paraId="6EF1353F" w14:textId="384D2C2F" w:rsidR="009E13F4" w:rsidRDefault="004657C4" w:rsidP="009E13F4">
      <w:pPr>
        <w:pStyle w:val="Heading1"/>
      </w:pPr>
      <w:r>
        <w:t>Preamble-based Initial s</w:t>
      </w:r>
      <w:r w:rsidR="009E13F4">
        <w:t>ignal for NR Unlicensed</w:t>
      </w:r>
    </w:p>
    <w:p w14:paraId="7CB3A8DA" w14:textId="69E6359A" w:rsidR="00933A67" w:rsidRDefault="00933A67" w:rsidP="00933A67">
      <w:pPr>
        <w:pStyle w:val="Heading2"/>
      </w:pPr>
      <w:r>
        <w:t>UE power saving</w:t>
      </w:r>
    </w:p>
    <w:p w14:paraId="3DBF4D5C" w14:textId="200D04D2" w:rsidR="00294797" w:rsidRPr="00294797" w:rsidRDefault="00294797" w:rsidP="00294797">
      <w:pPr>
        <w:pStyle w:val="Heading3"/>
      </w:pPr>
      <w:r>
        <w:t>Power saving for NR-U devices</w:t>
      </w:r>
    </w:p>
    <w:p w14:paraId="3694B0E4" w14:textId="64798BC6" w:rsidR="009E13F4" w:rsidRDefault="009E13F4" w:rsidP="009E13F4">
      <w:pPr>
        <w:jc w:val="both"/>
      </w:pPr>
      <w:r>
        <w:t xml:space="preserve">In existing LAA, UE needs to monitor downlink control channel at the slot boundaries. It is known that control channel monitoring is power consuming, and in a typical “day of use” statistics, large portion of the control channel decoding happens in subframes where the UE receives no grant or scheduling. This issue could potentially be more notable in a loaded deployment in unlicensed spectrum, as the serving gNB may not even get access to the medium due to LBT failures. </w:t>
      </w:r>
    </w:p>
    <w:p w14:paraId="0152F02D" w14:textId="77777777" w:rsidR="009E13F4" w:rsidRDefault="009E13F4" w:rsidP="009E13F4">
      <w:pPr>
        <w:jc w:val="both"/>
      </w:pPr>
    </w:p>
    <w:p w14:paraId="65D49D8D" w14:textId="132F3EE5" w:rsidR="009E13F4" w:rsidRDefault="009E13F4" w:rsidP="009E13F4">
      <w:pPr>
        <w:jc w:val="both"/>
      </w:pPr>
      <w:r>
        <w:t xml:space="preserve">Further, this situation could potentially get worse in NR-U due to the support of flexible frame structure (e.g. mini-slot) and shorter TTI using scaled numerology. From spectrum utilization perspective, the flexible frame structure and shorter TTI can allow gNB to access the available </w:t>
      </w:r>
      <w:r>
        <w:lastRenderedPageBreak/>
        <w:t>channel faster and more efficiently. On the other hand, this also implies that UE will have to monitor the downlink control channel more often.</w:t>
      </w:r>
    </w:p>
    <w:p w14:paraId="28AD14B3" w14:textId="77777777" w:rsidR="009E13F4" w:rsidRDefault="009E13F4" w:rsidP="009E13F4">
      <w:pPr>
        <w:jc w:val="both"/>
      </w:pPr>
    </w:p>
    <w:p w14:paraId="12FFDA3E" w14:textId="2B7E2A23" w:rsidR="009E13F4" w:rsidRDefault="009E13F4" w:rsidP="009E13F4">
      <w:pPr>
        <w:jc w:val="both"/>
      </w:pPr>
      <w:r>
        <w:t xml:space="preserve">A low complexity </w:t>
      </w:r>
      <w:r w:rsidR="00FC65EA">
        <w:t>“</w:t>
      </w:r>
      <w:r w:rsidR="00FC65EA" w:rsidRPr="00FC65EA">
        <w:rPr>
          <w:i/>
        </w:rPr>
        <w:t>initial</w:t>
      </w:r>
      <w:r w:rsidRPr="00FC65EA">
        <w:rPr>
          <w:i/>
        </w:rPr>
        <w:t xml:space="preserve"> signal</w:t>
      </w:r>
      <w:r w:rsidR="00FC65EA">
        <w:t>”</w:t>
      </w:r>
      <w:r>
        <w:t xml:space="preserve"> could potentially help achieving a more favorable trade-off between </w:t>
      </w:r>
      <w:r w:rsidRPr="00FC65EA">
        <w:rPr>
          <w:i/>
        </w:rPr>
        <w:t>medium access latency</w:t>
      </w:r>
      <w:r>
        <w:t xml:space="preserve"> and </w:t>
      </w:r>
      <w:r w:rsidRPr="00FC65EA">
        <w:rPr>
          <w:i/>
        </w:rPr>
        <w:t>UE monitoring complexity</w:t>
      </w:r>
      <w:r>
        <w:t xml:space="preserve">. One possible solution of the </w:t>
      </w:r>
      <w:r w:rsidR="00FC65EA">
        <w:t>initial</w:t>
      </w:r>
      <w:r>
        <w:t xml:space="preserve"> signal is illustrated in </w:t>
      </w:r>
      <w:r>
        <w:fldChar w:fldCharType="begin"/>
      </w:r>
      <w:r>
        <w:instrText xml:space="preserve"> REF _Ref521574855 \h </w:instrText>
      </w:r>
      <w:r>
        <w:fldChar w:fldCharType="separate"/>
      </w:r>
      <w:r w:rsidR="000F60C1">
        <w:t xml:space="preserve">Figure </w:t>
      </w:r>
      <w:r w:rsidR="000F60C1">
        <w:rPr>
          <w:noProof/>
        </w:rPr>
        <w:t>2</w:t>
      </w:r>
      <w:r w:rsidR="000F60C1">
        <w:noBreakHyphen/>
      </w:r>
      <w:r w:rsidR="000F60C1">
        <w:rPr>
          <w:noProof/>
        </w:rPr>
        <w:t>1</w:t>
      </w:r>
      <w:r>
        <w:fldChar w:fldCharType="end"/>
      </w:r>
    </w:p>
    <w:p w14:paraId="7C642D60" w14:textId="77777777" w:rsidR="009E13F4" w:rsidRDefault="009E13F4" w:rsidP="009E13F4">
      <w:pPr>
        <w:jc w:val="both"/>
      </w:pPr>
    </w:p>
    <w:p w14:paraId="2A2DA633" w14:textId="64B38A57" w:rsidR="009E13F4" w:rsidRDefault="00A408EC" w:rsidP="009E13F4">
      <w:pPr>
        <w:jc w:val="center"/>
      </w:pPr>
      <w:r w:rsidRPr="00A408EC">
        <w:rPr>
          <w:noProof/>
        </w:rPr>
        <w:drawing>
          <wp:inline distT="0" distB="0" distL="0" distR="0" wp14:anchorId="56CF2A15" wp14:editId="43F341EA">
            <wp:extent cx="4764024" cy="804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4024" cy="804672"/>
                    </a:xfrm>
                    <a:prstGeom prst="rect">
                      <a:avLst/>
                    </a:prstGeom>
                  </pic:spPr>
                </pic:pic>
              </a:graphicData>
            </a:graphic>
          </wp:inline>
        </w:drawing>
      </w:r>
    </w:p>
    <w:p w14:paraId="344DC2C7" w14:textId="408C6675" w:rsidR="009E13F4" w:rsidRPr="007C662F" w:rsidRDefault="009E13F4" w:rsidP="009E13F4">
      <w:pPr>
        <w:pStyle w:val="Caption"/>
      </w:pPr>
      <w:bookmarkStart w:id="1" w:name="_Ref521574855"/>
      <w:r>
        <w:t xml:space="preserve">Figure </w:t>
      </w:r>
      <w:r w:rsidR="00C15BA5">
        <w:rPr>
          <w:noProof/>
        </w:rPr>
        <w:fldChar w:fldCharType="begin"/>
      </w:r>
      <w:r w:rsidR="00C15BA5">
        <w:rPr>
          <w:noProof/>
        </w:rPr>
        <w:instrText xml:space="preserve"> STYLEREF 1 \s </w:instrText>
      </w:r>
      <w:r w:rsidR="00C15BA5">
        <w:rPr>
          <w:noProof/>
        </w:rPr>
        <w:fldChar w:fldCharType="separate"/>
      </w:r>
      <w:r w:rsidR="000F60C1">
        <w:rPr>
          <w:noProof/>
        </w:rPr>
        <w:t>2</w:t>
      </w:r>
      <w:r w:rsidR="00C15BA5">
        <w:rPr>
          <w:noProof/>
        </w:rPr>
        <w:fldChar w:fldCharType="end"/>
      </w:r>
      <w:r>
        <w:noBreakHyphen/>
      </w:r>
      <w:r w:rsidR="00C15BA5">
        <w:rPr>
          <w:noProof/>
        </w:rPr>
        <w:fldChar w:fldCharType="begin"/>
      </w:r>
      <w:r w:rsidR="00C15BA5">
        <w:rPr>
          <w:noProof/>
        </w:rPr>
        <w:instrText xml:space="preserve"> SEQ Figure \* ARABIC \s 1 </w:instrText>
      </w:r>
      <w:r w:rsidR="00C15BA5">
        <w:rPr>
          <w:noProof/>
        </w:rPr>
        <w:fldChar w:fldCharType="separate"/>
      </w:r>
      <w:r w:rsidR="000F60C1">
        <w:rPr>
          <w:noProof/>
        </w:rPr>
        <w:t>1</w:t>
      </w:r>
      <w:r w:rsidR="00C15BA5">
        <w:rPr>
          <w:noProof/>
        </w:rPr>
        <w:fldChar w:fldCharType="end"/>
      </w:r>
      <w:bookmarkEnd w:id="1"/>
      <w:r>
        <w:t xml:space="preserve"> </w:t>
      </w:r>
      <w:r w:rsidR="00A408EC">
        <w:t>Initial</w:t>
      </w:r>
      <w:r>
        <w:t xml:space="preserve"> signal for NR-U</w:t>
      </w:r>
    </w:p>
    <w:p w14:paraId="26361460" w14:textId="69DCCEF1" w:rsidR="009E13F4" w:rsidRDefault="009E13F4" w:rsidP="009E13F4">
      <w:pPr>
        <w:jc w:val="both"/>
      </w:pPr>
      <w:r>
        <w:t xml:space="preserve">Specifically, the </w:t>
      </w:r>
      <w:r w:rsidR="00FC65EA">
        <w:t>initial</w:t>
      </w:r>
      <w:r>
        <w:t xml:space="preserve"> signal may include the following fields:</w:t>
      </w:r>
    </w:p>
    <w:p w14:paraId="03B876AD" w14:textId="77777777" w:rsidR="009E13F4" w:rsidRDefault="009E13F4" w:rsidP="009E13F4">
      <w:pPr>
        <w:pStyle w:val="ListParagraph"/>
        <w:numPr>
          <w:ilvl w:val="0"/>
          <w:numId w:val="35"/>
        </w:numPr>
        <w:jc w:val="both"/>
      </w:pPr>
      <w:r>
        <w:t>A low complexity detection preamble: this could help UE monitor the channel occupancy at lower cost than regular DCI monitoring, both from UE RF complexity and baseband complexity. It is desirable that the detection preamble is universal (at least within NR-U). A universal detection preamble could also allow coherent detection and achieve better coexistence with other devices.</w:t>
      </w:r>
    </w:p>
    <w:p w14:paraId="56AD8F7B" w14:textId="77777777" w:rsidR="009E13F4" w:rsidRDefault="009E13F4" w:rsidP="009E13F4">
      <w:pPr>
        <w:pStyle w:val="ListParagraph"/>
        <w:numPr>
          <w:ilvl w:val="0"/>
          <w:numId w:val="35"/>
        </w:numPr>
        <w:jc w:val="both"/>
      </w:pPr>
      <w:r>
        <w:t>COT information: this information, if detected, can help other devices skip unnecessary blind control channel decoding</w:t>
      </w:r>
    </w:p>
    <w:p w14:paraId="5B664A35" w14:textId="0AAC8D75" w:rsidR="009E13F4" w:rsidRDefault="009E13F4" w:rsidP="009E13F4">
      <w:pPr>
        <w:pStyle w:val="ListParagraph"/>
        <w:numPr>
          <w:ilvl w:val="0"/>
          <w:numId w:val="35"/>
        </w:numPr>
        <w:jc w:val="both"/>
      </w:pPr>
      <w:r>
        <w:t xml:space="preserve">Cell ID </w:t>
      </w:r>
      <w:r w:rsidR="0095518D">
        <w:t>(</w:t>
      </w:r>
      <w:r>
        <w:t>and optional UE group ID</w:t>
      </w:r>
      <w:r w:rsidR="0095518D">
        <w:t>)</w:t>
      </w:r>
      <w:r>
        <w:t xml:space="preserve"> indication: this information, together with COT, can help devices skip unnecessary blind control channel decoding.</w:t>
      </w:r>
      <w:r w:rsidR="0095518D">
        <w:t xml:space="preserve"> </w:t>
      </w:r>
    </w:p>
    <w:p w14:paraId="7E39BC00" w14:textId="77777777" w:rsidR="009E13F4" w:rsidRDefault="009E13F4" w:rsidP="009E13F4">
      <w:pPr>
        <w:jc w:val="both"/>
      </w:pPr>
    </w:p>
    <w:p w14:paraId="07EE49A9" w14:textId="4712C6AA" w:rsidR="009E13F4" w:rsidRDefault="009E13F4" w:rsidP="009E13F4">
      <w:pPr>
        <w:jc w:val="both"/>
      </w:pPr>
      <w:r>
        <w:t xml:space="preserve">To briefly illustrate, </w:t>
      </w:r>
      <w:r>
        <w:fldChar w:fldCharType="begin"/>
      </w:r>
      <w:r>
        <w:instrText xml:space="preserve"> REF _Ref521576373 \h </w:instrText>
      </w:r>
      <w:r>
        <w:fldChar w:fldCharType="separate"/>
      </w:r>
      <w:r w:rsidR="000F60C1">
        <w:t xml:space="preserve">Figure </w:t>
      </w:r>
      <w:r w:rsidR="000F60C1">
        <w:rPr>
          <w:noProof/>
        </w:rPr>
        <w:t>2</w:t>
      </w:r>
      <w:r w:rsidR="000F60C1">
        <w:noBreakHyphen/>
      </w:r>
      <w:r w:rsidR="000F60C1">
        <w:rPr>
          <w:noProof/>
        </w:rPr>
        <w:t>2</w:t>
      </w:r>
      <w:r>
        <w:fldChar w:fldCharType="end"/>
      </w:r>
      <w:r>
        <w:t xml:space="preserve"> shows example that an NR-U device only wakeup to try control channel decoding after its associated cell ID is detected from the wake-up signal.</w:t>
      </w:r>
    </w:p>
    <w:p w14:paraId="5B8C7D08" w14:textId="77777777" w:rsidR="009E13F4" w:rsidRDefault="009E13F4" w:rsidP="009E13F4">
      <w:pPr>
        <w:jc w:val="both"/>
      </w:pPr>
    </w:p>
    <w:p w14:paraId="37A5954A" w14:textId="77777777" w:rsidR="009E13F4" w:rsidRDefault="009E13F4" w:rsidP="009E13F4">
      <w:pPr>
        <w:jc w:val="both"/>
      </w:pPr>
      <w:r w:rsidRPr="002C14DA">
        <w:rPr>
          <w:noProof/>
        </w:rPr>
        <w:drawing>
          <wp:inline distT="0" distB="0" distL="0" distR="0" wp14:anchorId="1D066E5F" wp14:editId="1AC5017D">
            <wp:extent cx="6120765" cy="125920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259205"/>
                    </a:xfrm>
                    <a:prstGeom prst="rect">
                      <a:avLst/>
                    </a:prstGeom>
                  </pic:spPr>
                </pic:pic>
              </a:graphicData>
            </a:graphic>
          </wp:inline>
        </w:drawing>
      </w:r>
    </w:p>
    <w:p w14:paraId="665D1B9C" w14:textId="48696379" w:rsidR="009E13F4" w:rsidRDefault="009E13F4" w:rsidP="009E13F4">
      <w:pPr>
        <w:pStyle w:val="Caption"/>
      </w:pPr>
      <w:bookmarkStart w:id="2" w:name="_Ref521576373"/>
      <w:r>
        <w:t xml:space="preserve">Figure </w:t>
      </w:r>
      <w:r w:rsidR="00C15BA5">
        <w:rPr>
          <w:noProof/>
        </w:rPr>
        <w:fldChar w:fldCharType="begin"/>
      </w:r>
      <w:r w:rsidR="00C15BA5">
        <w:rPr>
          <w:noProof/>
        </w:rPr>
        <w:instrText xml:space="preserve"> STYLEREF 1 \s </w:instrText>
      </w:r>
      <w:r w:rsidR="00C15BA5">
        <w:rPr>
          <w:noProof/>
        </w:rPr>
        <w:fldChar w:fldCharType="separate"/>
      </w:r>
      <w:r w:rsidR="000F60C1">
        <w:rPr>
          <w:noProof/>
        </w:rPr>
        <w:t>2</w:t>
      </w:r>
      <w:r w:rsidR="00C15BA5">
        <w:rPr>
          <w:noProof/>
        </w:rPr>
        <w:fldChar w:fldCharType="end"/>
      </w:r>
      <w:r>
        <w:noBreakHyphen/>
      </w:r>
      <w:r w:rsidR="00C15BA5">
        <w:rPr>
          <w:noProof/>
        </w:rPr>
        <w:fldChar w:fldCharType="begin"/>
      </w:r>
      <w:r w:rsidR="00C15BA5">
        <w:rPr>
          <w:noProof/>
        </w:rPr>
        <w:instrText xml:space="preserve"> SEQ Figure \* ARABIC \s 1 </w:instrText>
      </w:r>
      <w:r w:rsidR="00C15BA5">
        <w:rPr>
          <w:noProof/>
        </w:rPr>
        <w:fldChar w:fldCharType="separate"/>
      </w:r>
      <w:r w:rsidR="000F60C1">
        <w:rPr>
          <w:noProof/>
        </w:rPr>
        <w:t>2</w:t>
      </w:r>
      <w:r w:rsidR="00C15BA5">
        <w:rPr>
          <w:noProof/>
        </w:rPr>
        <w:fldChar w:fldCharType="end"/>
      </w:r>
      <w:bookmarkEnd w:id="2"/>
      <w:r>
        <w:t xml:space="preserve"> UE wake up from serving cell </w:t>
      </w:r>
    </w:p>
    <w:p w14:paraId="1CF926CF" w14:textId="77777777" w:rsidR="009E13F4" w:rsidRDefault="009E13F4" w:rsidP="009E13F4"/>
    <w:p w14:paraId="06AB76FB" w14:textId="0B02934B" w:rsidR="009E13F4" w:rsidRDefault="009E13F4" w:rsidP="009E13F4">
      <w:pPr>
        <w:jc w:val="both"/>
      </w:pPr>
      <w:r>
        <w:t xml:space="preserve">The benefit of the wake-up signal is clear when the UE and gNB are synchronous, i.e., it is either the serving gNB, or a different gNB but deployed within a synchronous network. Additionally, a UE might still benefit from the wake-up signal even from an asynchronous non-serving gNB. </w:t>
      </w:r>
      <w:r w:rsidR="000F60C1">
        <w:t>I</w:t>
      </w:r>
      <w:r>
        <w:t xml:space="preserve">n practice, a gNB will likely grab the channel between scheduling boundaries after a successful LBT and back off procedure. In such scenario, the gNB could start sending the wake-up signal as a form of </w:t>
      </w:r>
      <w:r w:rsidRPr="000F60C1">
        <w:rPr>
          <w:i/>
        </w:rPr>
        <w:t>reservation signal</w:t>
      </w:r>
      <w:r>
        <w:t xml:space="preserve"> and repeat till the next available scheduling boundary. </w:t>
      </w:r>
    </w:p>
    <w:p w14:paraId="524B52DE" w14:textId="77777777" w:rsidR="009E13F4" w:rsidRDefault="009E13F4" w:rsidP="009E13F4">
      <w:pPr>
        <w:jc w:val="both"/>
      </w:pPr>
    </w:p>
    <w:p w14:paraId="2EB6E32B" w14:textId="77777777" w:rsidR="009E13F4" w:rsidRDefault="009E13F4" w:rsidP="009E13F4">
      <w:pPr>
        <w:jc w:val="both"/>
      </w:pPr>
      <w:r>
        <w:t>Notice that in addition to power saving from UE perspective, gNB could also benefit from decoding the wakeup signal from other cells and skip CCA for the indicated COT duration.</w:t>
      </w:r>
    </w:p>
    <w:p w14:paraId="4D9FB5F6" w14:textId="77777777" w:rsidR="00B94FBF" w:rsidRDefault="00B94FBF" w:rsidP="009E13F4">
      <w:pPr>
        <w:jc w:val="both"/>
      </w:pPr>
    </w:p>
    <w:p w14:paraId="03147B0F" w14:textId="31535D4A" w:rsidR="00B94FBF" w:rsidRPr="00B94FBF" w:rsidRDefault="00B94FBF" w:rsidP="009E13F4">
      <w:pPr>
        <w:jc w:val="both"/>
        <w:rPr>
          <w:b/>
          <w:i/>
        </w:rPr>
      </w:pPr>
      <w:r w:rsidRPr="00B94FBF">
        <w:rPr>
          <w:b/>
          <w:i/>
          <w:u w:val="single"/>
        </w:rPr>
        <w:t>Observation 1</w:t>
      </w:r>
      <w:r w:rsidRPr="00B94FBF">
        <w:rPr>
          <w:b/>
          <w:i/>
        </w:rPr>
        <w:t xml:space="preserve">: A NR-U initial signal </w:t>
      </w:r>
      <w:r w:rsidR="001A4D2A">
        <w:rPr>
          <w:b/>
          <w:i/>
        </w:rPr>
        <w:t>including</w:t>
      </w:r>
      <w:r w:rsidRPr="00B94FBF">
        <w:rPr>
          <w:b/>
          <w:i/>
        </w:rPr>
        <w:t xml:space="preserve"> low detection complexity preamble, cell ID and </w:t>
      </w:r>
      <w:proofErr w:type="spellStart"/>
      <w:r w:rsidRPr="00B94FBF">
        <w:rPr>
          <w:b/>
          <w:i/>
        </w:rPr>
        <w:t>CoT</w:t>
      </w:r>
      <w:proofErr w:type="spellEnd"/>
      <w:r w:rsidRPr="00B94FBF">
        <w:rPr>
          <w:b/>
          <w:i/>
        </w:rPr>
        <w:t xml:space="preserve"> information is beneficial for NR-U UE power saving.</w:t>
      </w:r>
    </w:p>
    <w:p w14:paraId="55E9CCCC" w14:textId="77777777" w:rsidR="00B94FBF" w:rsidRDefault="00B94FBF" w:rsidP="009E13F4">
      <w:pPr>
        <w:jc w:val="both"/>
      </w:pPr>
    </w:p>
    <w:p w14:paraId="670A53AD" w14:textId="0F0779E5" w:rsidR="00294797" w:rsidRDefault="00294797" w:rsidP="00294797">
      <w:pPr>
        <w:pStyle w:val="Heading3"/>
      </w:pPr>
      <w:r>
        <w:lastRenderedPageBreak/>
        <w:t>Power saving for Wi-Fi devices</w:t>
      </w:r>
    </w:p>
    <w:p w14:paraId="0D6A19E6" w14:textId="77777777" w:rsidR="00294797" w:rsidRDefault="00294797" w:rsidP="00294797">
      <w:pPr>
        <w:jc w:val="both"/>
      </w:pPr>
      <w:r>
        <w:t xml:space="preserve">Wi-Fi devices already widely exist in many unlicensed spectrums, e.g., 2.4GHz, 5GHz. Almost all cellular phones nowadays support Wi-Fi as well, which also directly impact user experience. Each Wi-Fi transmission includes a common legacy preamble of 20us at the beginning, including a universal signature sequence followed by a short information field of packet length decodable by every Wi-Fi devices. </w:t>
      </w:r>
    </w:p>
    <w:p w14:paraId="7FFBFD13" w14:textId="77777777" w:rsidR="00294797" w:rsidRDefault="00294797" w:rsidP="00294797">
      <w:pPr>
        <w:jc w:val="both"/>
      </w:pPr>
    </w:p>
    <w:p w14:paraId="1A03635C" w14:textId="23526218" w:rsidR="00294797" w:rsidRDefault="00294797" w:rsidP="00294797">
      <w:pPr>
        <w:jc w:val="both"/>
      </w:pPr>
      <w:r>
        <w:t xml:space="preserve">Existing Wi-Fi modems heavily leverage this common preamble structure for UE power saving. When a Wi-Fi device wakes up, it continuously detects the preamble. Once the preamble is detected, and the UE </w:t>
      </w:r>
      <w:r w:rsidR="00904BE0">
        <w:t xml:space="preserve">further identifies that data is for other devices, the UE will go to sleep based on the packet length information from the preamble. However, if the transmission is from other RATs (e.g., LAA) without such preamble, the UE will need to keep detecting preamble without opportunity to go to sleep. Therefore, if NR-U could support an initial signal whose preamble part reuses the legacy Wi-Fi preamble, as shown in </w:t>
      </w:r>
      <w:r w:rsidR="00904BE0">
        <w:fldChar w:fldCharType="begin"/>
      </w:r>
      <w:r w:rsidR="00904BE0">
        <w:instrText xml:space="preserve"> REF _Ref521574855 \h </w:instrText>
      </w:r>
      <w:r w:rsidR="00904BE0">
        <w:fldChar w:fldCharType="separate"/>
      </w:r>
      <w:r w:rsidR="000F60C1">
        <w:t xml:space="preserve">Figure </w:t>
      </w:r>
      <w:r w:rsidR="000F60C1">
        <w:rPr>
          <w:noProof/>
        </w:rPr>
        <w:t>2</w:t>
      </w:r>
      <w:r w:rsidR="000F60C1">
        <w:noBreakHyphen/>
      </w:r>
      <w:r w:rsidR="000F60C1">
        <w:rPr>
          <w:noProof/>
        </w:rPr>
        <w:t>1</w:t>
      </w:r>
      <w:r w:rsidR="00904BE0">
        <w:fldChar w:fldCharType="end"/>
      </w:r>
      <w:r w:rsidR="00904BE0">
        <w:t xml:space="preserve">, it could still allow the same power saving mechanism as in a Wi-Fi only network. </w:t>
      </w:r>
    </w:p>
    <w:p w14:paraId="323C8D79" w14:textId="77777777" w:rsidR="00B94FBF" w:rsidRDefault="00B94FBF" w:rsidP="00294797">
      <w:pPr>
        <w:jc w:val="both"/>
      </w:pPr>
    </w:p>
    <w:p w14:paraId="580C2E20" w14:textId="0645C18B" w:rsidR="00B94FBF" w:rsidRPr="00B94FBF" w:rsidRDefault="00B94FBF" w:rsidP="00294797">
      <w:pPr>
        <w:jc w:val="both"/>
        <w:rPr>
          <w:b/>
          <w:i/>
        </w:rPr>
      </w:pPr>
      <w:r w:rsidRPr="00B94FBF">
        <w:rPr>
          <w:b/>
          <w:i/>
          <w:u w:val="single"/>
        </w:rPr>
        <w:t>Observation 2</w:t>
      </w:r>
      <w:r w:rsidRPr="00B94FBF">
        <w:rPr>
          <w:b/>
          <w:i/>
        </w:rPr>
        <w:t>: Including legacy Wi-Fi preamble into the NR-U initial signal is beneficial for Wi-Fi device power saving.</w:t>
      </w:r>
    </w:p>
    <w:p w14:paraId="3935BE44" w14:textId="2656BA1D" w:rsidR="009E13F4" w:rsidRDefault="009E13F4" w:rsidP="009E13F4">
      <w:pPr>
        <w:jc w:val="both"/>
      </w:pPr>
    </w:p>
    <w:p w14:paraId="2C66978A" w14:textId="2492E501" w:rsidR="00933A67" w:rsidRDefault="00933A67" w:rsidP="009E13F4">
      <w:pPr>
        <w:jc w:val="both"/>
        <w:rPr>
          <w:b/>
          <w:i/>
        </w:rPr>
      </w:pPr>
      <w:r w:rsidRPr="001A4D2A">
        <w:rPr>
          <w:b/>
          <w:i/>
          <w:u w:val="single"/>
        </w:rPr>
        <w:t>Proposal 1</w:t>
      </w:r>
      <w:r w:rsidRPr="001A4D2A">
        <w:rPr>
          <w:b/>
          <w:i/>
        </w:rPr>
        <w:t xml:space="preserve">: NR-U to support </w:t>
      </w:r>
      <w:r w:rsidR="00294797" w:rsidRPr="001A4D2A">
        <w:rPr>
          <w:b/>
          <w:i/>
        </w:rPr>
        <w:t>initial</w:t>
      </w:r>
      <w:r w:rsidRPr="001A4D2A">
        <w:rPr>
          <w:b/>
          <w:i/>
        </w:rPr>
        <w:t xml:space="preserve"> signal including</w:t>
      </w:r>
      <w:r w:rsidR="006B639D">
        <w:rPr>
          <w:b/>
          <w:i/>
        </w:rPr>
        <w:t xml:space="preserve"> low complexity</w:t>
      </w:r>
      <w:r w:rsidRPr="001A4D2A">
        <w:rPr>
          <w:rFonts w:hint="eastAsia"/>
          <w:b/>
          <w:i/>
        </w:rPr>
        <w:t xml:space="preserve"> </w:t>
      </w:r>
      <w:r w:rsidRPr="001A4D2A">
        <w:rPr>
          <w:b/>
          <w:i/>
        </w:rPr>
        <w:t xml:space="preserve">detection pre-amble, </w:t>
      </w:r>
      <w:r w:rsidR="005866D3">
        <w:rPr>
          <w:b/>
          <w:i/>
        </w:rPr>
        <w:t xml:space="preserve">and indicating </w:t>
      </w:r>
      <w:r w:rsidRPr="001A4D2A">
        <w:rPr>
          <w:b/>
          <w:i/>
        </w:rPr>
        <w:t>COT, cell ID</w:t>
      </w:r>
      <w:r w:rsidR="005866D3">
        <w:rPr>
          <w:b/>
          <w:i/>
        </w:rPr>
        <w:t xml:space="preserve"> information</w:t>
      </w:r>
      <w:r w:rsidRPr="001A4D2A">
        <w:rPr>
          <w:b/>
          <w:i/>
        </w:rPr>
        <w:t>.</w:t>
      </w:r>
    </w:p>
    <w:p w14:paraId="32680D17" w14:textId="77777777" w:rsidR="006606B9" w:rsidRPr="00132814" w:rsidRDefault="006606B9" w:rsidP="009E13F4">
      <w:pPr>
        <w:jc w:val="both"/>
        <w:rPr>
          <w:b/>
          <w:i/>
        </w:rPr>
      </w:pPr>
    </w:p>
    <w:p w14:paraId="3FA33CCC" w14:textId="0FAD345F" w:rsidR="00933A67" w:rsidRDefault="00933A67" w:rsidP="00D54484"/>
    <w:p w14:paraId="2896E657" w14:textId="38489508" w:rsidR="00854A60" w:rsidRDefault="00CB1432" w:rsidP="00FB330B">
      <w:pPr>
        <w:pStyle w:val="Heading1"/>
      </w:pPr>
      <w:r>
        <w:t>Concl</w:t>
      </w:r>
      <w:r w:rsidR="009C5A97" w:rsidRPr="00FB330B">
        <w:t>usion</w:t>
      </w:r>
      <w:r w:rsidR="004424BC" w:rsidRPr="00FB330B">
        <w:t>s</w:t>
      </w:r>
    </w:p>
    <w:p w14:paraId="5DD07323" w14:textId="277304EF" w:rsidR="00FE3D51" w:rsidRDefault="00FE3D51" w:rsidP="001A4D2A">
      <w:pPr>
        <w:jc w:val="both"/>
      </w:pPr>
      <w:r>
        <w:t xml:space="preserve">In this contribution, we discuss </w:t>
      </w:r>
      <w:r w:rsidR="001A4D2A">
        <w:t xml:space="preserve">the benefits of introducing initial signal containing preamble, cell ID and </w:t>
      </w:r>
      <w:proofErr w:type="spellStart"/>
      <w:r w:rsidR="001A4D2A">
        <w:t>CoT</w:t>
      </w:r>
      <w:proofErr w:type="spellEnd"/>
      <w:r w:rsidR="001A4D2A">
        <w:t xml:space="preserve"> in NR-U. We also discuss the benefits or reusing the legacy Wi-Fi preamble in the initial signal, at least for spectrum with existing Wi-Fi deployment. </w:t>
      </w:r>
      <w:r>
        <w:t>We have the following observation and proposals:</w:t>
      </w:r>
    </w:p>
    <w:p w14:paraId="27FCB260" w14:textId="77777777" w:rsidR="001A4D2A" w:rsidRDefault="001A4D2A" w:rsidP="001A4D2A">
      <w:pPr>
        <w:jc w:val="both"/>
      </w:pPr>
    </w:p>
    <w:p w14:paraId="3E099738" w14:textId="77777777" w:rsidR="001A4D2A" w:rsidRPr="00B94FBF" w:rsidRDefault="001A4D2A" w:rsidP="001A4D2A">
      <w:pPr>
        <w:jc w:val="both"/>
        <w:rPr>
          <w:b/>
          <w:i/>
        </w:rPr>
      </w:pPr>
      <w:r w:rsidRPr="00B94FBF">
        <w:rPr>
          <w:b/>
          <w:i/>
          <w:u w:val="single"/>
        </w:rPr>
        <w:t>Observation 1</w:t>
      </w:r>
      <w:r w:rsidRPr="00B94FBF">
        <w:rPr>
          <w:b/>
          <w:i/>
        </w:rPr>
        <w:t xml:space="preserve">: A NR-U initial signal </w:t>
      </w:r>
      <w:r>
        <w:rPr>
          <w:b/>
          <w:i/>
        </w:rPr>
        <w:t>including</w:t>
      </w:r>
      <w:r w:rsidRPr="00B94FBF">
        <w:rPr>
          <w:b/>
          <w:i/>
        </w:rPr>
        <w:t xml:space="preserve"> low detection complexity preamble, cell ID and </w:t>
      </w:r>
      <w:proofErr w:type="spellStart"/>
      <w:r w:rsidRPr="00B94FBF">
        <w:rPr>
          <w:b/>
          <w:i/>
        </w:rPr>
        <w:t>CoT</w:t>
      </w:r>
      <w:proofErr w:type="spellEnd"/>
      <w:r w:rsidRPr="00B94FBF">
        <w:rPr>
          <w:b/>
          <w:i/>
        </w:rPr>
        <w:t xml:space="preserve"> information is beneficial for NR-U UE power saving.</w:t>
      </w:r>
    </w:p>
    <w:p w14:paraId="2453CDC4" w14:textId="77777777" w:rsidR="001A4D2A" w:rsidRDefault="001A4D2A" w:rsidP="001A4D2A">
      <w:pPr>
        <w:jc w:val="both"/>
      </w:pPr>
    </w:p>
    <w:p w14:paraId="45CF2539" w14:textId="77777777" w:rsidR="001A4D2A" w:rsidRPr="00B94FBF" w:rsidRDefault="001A4D2A" w:rsidP="001A4D2A">
      <w:pPr>
        <w:jc w:val="both"/>
        <w:rPr>
          <w:b/>
          <w:i/>
        </w:rPr>
      </w:pPr>
      <w:r w:rsidRPr="00B94FBF">
        <w:rPr>
          <w:b/>
          <w:i/>
          <w:u w:val="single"/>
        </w:rPr>
        <w:t>Observation 2</w:t>
      </w:r>
      <w:r w:rsidRPr="00B94FBF">
        <w:rPr>
          <w:b/>
          <w:i/>
        </w:rPr>
        <w:t>: Including legacy Wi-Fi preamble into the NR-U initial signal is beneficial for Wi-Fi device power saving.</w:t>
      </w:r>
    </w:p>
    <w:p w14:paraId="49498997" w14:textId="77777777" w:rsidR="001A4D2A" w:rsidRDefault="001A4D2A" w:rsidP="00C73F28">
      <w:pPr>
        <w:rPr>
          <w:b/>
          <w:i/>
          <w:highlight w:val="yellow"/>
          <w:u w:val="single"/>
        </w:rPr>
      </w:pPr>
    </w:p>
    <w:p w14:paraId="5F36F04F" w14:textId="14F95B24" w:rsidR="00D91937" w:rsidRPr="001027AA" w:rsidRDefault="00821A8B" w:rsidP="00D91937">
      <w:pPr>
        <w:jc w:val="both"/>
        <w:rPr>
          <w:b/>
          <w:i/>
        </w:rPr>
      </w:pPr>
      <w:r w:rsidRPr="001A4D2A">
        <w:rPr>
          <w:b/>
          <w:i/>
          <w:u w:val="single"/>
        </w:rPr>
        <w:t>Proposal 1</w:t>
      </w:r>
      <w:r w:rsidRPr="001A4D2A">
        <w:rPr>
          <w:b/>
          <w:i/>
        </w:rPr>
        <w:t>: NR-U to support initial signal including detection pre-amble, COT, cell ID.</w:t>
      </w:r>
      <w:bookmarkStart w:id="3" w:name="_GoBack"/>
      <w:bookmarkEnd w:id="3"/>
    </w:p>
    <w:p w14:paraId="0DAC4F4B" w14:textId="77777777" w:rsidR="00A43BBE" w:rsidRDefault="00A43BBE" w:rsidP="0005407B">
      <w:pPr>
        <w:jc w:val="both"/>
        <w:rPr>
          <w:b/>
          <w:sz w:val="20"/>
          <w:szCs w:val="20"/>
        </w:rPr>
      </w:pPr>
    </w:p>
    <w:p w14:paraId="7716D850" w14:textId="47F291FA" w:rsidR="003E0F30" w:rsidRDefault="005C63AE" w:rsidP="00920B5C">
      <w:pPr>
        <w:pStyle w:val="Heading1"/>
      </w:pPr>
      <w:r>
        <w:t>References</w:t>
      </w:r>
    </w:p>
    <w:p w14:paraId="217E5F97" w14:textId="19C8B9CF" w:rsidR="00280537" w:rsidRPr="0047688B" w:rsidRDefault="0047688B" w:rsidP="0047688B">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4" w:name="_Ref506552387"/>
      <w:r>
        <w:rPr>
          <w:sz w:val="20"/>
          <w:szCs w:val="20"/>
        </w:rPr>
        <w:t>RP-182878, “NR-based Access to Unlicensed Spectrum”, 3GPP RAN #82</w:t>
      </w:r>
      <w:r w:rsidRPr="0015118E">
        <w:rPr>
          <w:sz w:val="20"/>
          <w:szCs w:val="20"/>
        </w:rPr>
        <w:t xml:space="preserve">, </w:t>
      </w:r>
      <w:r>
        <w:rPr>
          <w:sz w:val="20"/>
        </w:rPr>
        <w:t>Sorrento</w:t>
      </w:r>
      <w:r w:rsidRPr="000B1042">
        <w:rPr>
          <w:sz w:val="20"/>
        </w:rPr>
        <w:t>,</w:t>
      </w:r>
      <w:r>
        <w:rPr>
          <w:sz w:val="20"/>
        </w:rPr>
        <w:t xml:space="preserve"> Italy</w:t>
      </w:r>
      <w:r w:rsidRPr="000B1042">
        <w:rPr>
          <w:sz w:val="20"/>
        </w:rPr>
        <w:t xml:space="preserve">, </w:t>
      </w:r>
      <w:r>
        <w:rPr>
          <w:sz w:val="20"/>
        </w:rPr>
        <w:t>10</w:t>
      </w:r>
      <w:r>
        <w:rPr>
          <w:sz w:val="20"/>
          <w:vertAlign w:val="superscript"/>
        </w:rPr>
        <w:t>th</w:t>
      </w:r>
      <w:r>
        <w:rPr>
          <w:sz w:val="20"/>
        </w:rPr>
        <w:t xml:space="preserve"> </w:t>
      </w:r>
      <w:r w:rsidRPr="000B1042">
        <w:rPr>
          <w:sz w:val="20"/>
        </w:rPr>
        <w:t xml:space="preserve">– </w:t>
      </w:r>
      <w:r>
        <w:rPr>
          <w:sz w:val="20"/>
        </w:rPr>
        <w:t>13</w:t>
      </w:r>
      <w:r w:rsidRPr="000B1042">
        <w:rPr>
          <w:sz w:val="20"/>
          <w:vertAlign w:val="superscript"/>
        </w:rPr>
        <w:t>th</w:t>
      </w:r>
      <w:r w:rsidRPr="000B1042">
        <w:rPr>
          <w:sz w:val="20"/>
        </w:rPr>
        <w:t xml:space="preserve"> </w:t>
      </w:r>
      <w:r>
        <w:rPr>
          <w:sz w:val="20"/>
        </w:rPr>
        <w:t>December 2018</w:t>
      </w:r>
      <w:r w:rsidR="00834197" w:rsidRPr="0047688B">
        <w:rPr>
          <w:sz w:val="20"/>
        </w:rPr>
        <w:t>.</w:t>
      </w:r>
      <w:bookmarkEnd w:id="4"/>
    </w:p>
    <w:p w14:paraId="67387FB4" w14:textId="42A576A7" w:rsidR="008B4716" w:rsidRPr="008B4716" w:rsidRDefault="00017ED9"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5" w:name="_Ref521592019"/>
      <w:r>
        <w:rPr>
          <w:sz w:val="20"/>
        </w:rPr>
        <w:t xml:space="preserve"> </w:t>
      </w:r>
      <w:r w:rsidR="008B4716">
        <w:rPr>
          <w:sz w:val="20"/>
        </w:rPr>
        <w:t>“Chairman’s notes RAN1 93 final”, 3GPP RAN1 #93, Busan, Korea, 21</w:t>
      </w:r>
      <w:r w:rsidR="008B4716" w:rsidRPr="00AE6F9E">
        <w:rPr>
          <w:sz w:val="20"/>
          <w:vertAlign w:val="superscript"/>
        </w:rPr>
        <w:t>st</w:t>
      </w:r>
      <w:r w:rsidR="008B4716">
        <w:rPr>
          <w:sz w:val="20"/>
        </w:rPr>
        <w:t xml:space="preserve"> – 25</w:t>
      </w:r>
      <w:r w:rsidR="008B4716" w:rsidRPr="000D3138">
        <w:rPr>
          <w:sz w:val="20"/>
          <w:vertAlign w:val="superscript"/>
        </w:rPr>
        <w:t>th</w:t>
      </w:r>
      <w:r w:rsidR="008B4716">
        <w:rPr>
          <w:sz w:val="20"/>
        </w:rPr>
        <w:t>, May, 2018.</w:t>
      </w:r>
      <w:bookmarkEnd w:id="5"/>
    </w:p>
    <w:p w14:paraId="47CC749D" w14:textId="4E215F4C" w:rsidR="00D533ED" w:rsidRPr="006C5678" w:rsidRDefault="00D533E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6" w:name="_Ref506468726"/>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6"/>
    </w:p>
    <w:p w14:paraId="7151BA9A" w14:textId="14082DBB" w:rsidR="006C5678" w:rsidRDefault="006C5678"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7" w:name="_Ref506468732"/>
      <w:r>
        <w:rPr>
          <w:sz w:val="20"/>
          <w:szCs w:val="20"/>
        </w:rPr>
        <w:t>ETSI EN 302 567, “Multiple-Gigabit radio equipment operating in the 60GHz band”</w:t>
      </w:r>
      <w:bookmarkEnd w:id="7"/>
    </w:p>
    <w:p w14:paraId="388684DD" w14:textId="77CB39E2" w:rsidR="00AE7CCD" w:rsidRPr="00AE7CCD" w:rsidRDefault="00AE7CC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8" w:name="_Ref525913885"/>
      <w:r w:rsidRPr="00AE7CCD">
        <w:rPr>
          <w:sz w:val="20"/>
          <w:szCs w:val="20"/>
          <w:lang w:val="en-GB"/>
        </w:rPr>
        <w:t>R1-1808690</w:t>
      </w:r>
      <w:r>
        <w:rPr>
          <w:sz w:val="20"/>
          <w:szCs w:val="20"/>
          <w:lang w:val="en-GB"/>
        </w:rPr>
        <w:t>,</w:t>
      </w:r>
      <w:r w:rsidRPr="00AE7CCD">
        <w:rPr>
          <w:sz w:val="20"/>
          <w:szCs w:val="20"/>
          <w:lang w:val="en-GB"/>
        </w:rPr>
        <w:tab/>
      </w:r>
      <w:r>
        <w:rPr>
          <w:sz w:val="20"/>
          <w:szCs w:val="20"/>
          <w:lang w:val="en-GB"/>
        </w:rPr>
        <w:t>“</w:t>
      </w:r>
      <w:r w:rsidRPr="00AE7CCD">
        <w:rPr>
          <w:sz w:val="20"/>
          <w:szCs w:val="20"/>
          <w:lang w:val="en-GB"/>
        </w:rPr>
        <w:t>Initial design on technology neutral preamble for unlicensed operation</w:t>
      </w:r>
      <w:r>
        <w:rPr>
          <w:sz w:val="20"/>
          <w:szCs w:val="20"/>
          <w:lang w:val="en-GB"/>
        </w:rPr>
        <w:t xml:space="preserve">”, </w:t>
      </w:r>
      <w:r w:rsidRPr="00AE7CCD">
        <w:rPr>
          <w:sz w:val="20"/>
          <w:szCs w:val="20"/>
          <w:lang w:val="en-GB"/>
        </w:rPr>
        <w:t>Intel Corporation</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8"/>
    </w:p>
    <w:p w14:paraId="48112833" w14:textId="512AB8BA" w:rsidR="00AE7CCD" w:rsidRPr="00AE7CCD" w:rsidRDefault="00AE7CC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9" w:name="_Ref525913893"/>
      <w:r w:rsidRPr="00AE7CCD">
        <w:rPr>
          <w:sz w:val="20"/>
          <w:szCs w:val="20"/>
          <w:lang w:val="en-GB"/>
        </w:rPr>
        <w:lastRenderedPageBreak/>
        <w:t>R1-1809062</w:t>
      </w:r>
      <w:r>
        <w:rPr>
          <w:sz w:val="20"/>
          <w:szCs w:val="20"/>
          <w:lang w:val="en-GB"/>
        </w:rPr>
        <w:t>,</w:t>
      </w:r>
      <w:r w:rsidRPr="00AE7CCD">
        <w:rPr>
          <w:sz w:val="20"/>
          <w:szCs w:val="20"/>
          <w:lang w:val="en-GB"/>
        </w:rPr>
        <w:tab/>
      </w:r>
      <w:r>
        <w:rPr>
          <w:sz w:val="20"/>
          <w:szCs w:val="20"/>
          <w:lang w:val="en-GB"/>
        </w:rPr>
        <w:t>“</w:t>
      </w:r>
      <w:r w:rsidRPr="00AE7CCD">
        <w:rPr>
          <w:sz w:val="20"/>
          <w:szCs w:val="20"/>
          <w:lang w:val="en-GB"/>
        </w:rPr>
        <w:t>NR-U design for DL signals and channels</w:t>
      </w:r>
      <w:r>
        <w:rPr>
          <w:sz w:val="20"/>
          <w:szCs w:val="20"/>
          <w:lang w:val="en-GB"/>
        </w:rPr>
        <w:t xml:space="preserve">”, </w:t>
      </w:r>
      <w:r w:rsidRPr="00AE7CCD">
        <w:rPr>
          <w:sz w:val="20"/>
          <w:szCs w:val="20"/>
          <w:lang w:val="en-GB"/>
        </w:rPr>
        <w:t>AT&amp;T</w:t>
      </w:r>
      <w:r>
        <w:rPr>
          <w:sz w:val="20"/>
          <w:szCs w:val="20"/>
          <w:lang w:val="en-GB"/>
        </w:rPr>
        <w:t>,</w:t>
      </w:r>
      <w:r w:rsidRPr="00AE7CCD">
        <w:rPr>
          <w:sz w:val="20"/>
          <w:szCs w:val="20"/>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9"/>
    </w:p>
    <w:p w14:paraId="6924871F" w14:textId="3B11A651" w:rsidR="00AE7CCD" w:rsidRPr="00AE7CCD" w:rsidRDefault="00AE7CC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10" w:name="_Ref525913895"/>
      <w:r w:rsidRPr="00AE7CCD">
        <w:rPr>
          <w:sz w:val="20"/>
          <w:szCs w:val="20"/>
          <w:lang w:val="en-GB"/>
        </w:rPr>
        <w:t>R1-1809476</w:t>
      </w:r>
      <w:r>
        <w:rPr>
          <w:sz w:val="20"/>
          <w:szCs w:val="20"/>
          <w:lang w:val="en-GB"/>
        </w:rPr>
        <w:t>,</w:t>
      </w:r>
      <w:r w:rsidRPr="00AE7CCD">
        <w:rPr>
          <w:sz w:val="20"/>
          <w:szCs w:val="20"/>
          <w:lang w:val="en-GB"/>
        </w:rPr>
        <w:tab/>
      </w:r>
      <w:r>
        <w:rPr>
          <w:sz w:val="20"/>
          <w:szCs w:val="20"/>
          <w:lang w:val="en-GB"/>
        </w:rPr>
        <w:t>“</w:t>
      </w:r>
      <w:r w:rsidRPr="00AE7CCD">
        <w:rPr>
          <w:sz w:val="20"/>
          <w:szCs w:val="20"/>
          <w:lang w:val="en-GB"/>
        </w:rPr>
        <w:t>Frame structure for NR-U operation</w:t>
      </w:r>
      <w:r>
        <w:rPr>
          <w:sz w:val="20"/>
          <w:szCs w:val="20"/>
          <w:lang w:val="en-GB"/>
        </w:rPr>
        <w:t xml:space="preserve">”, </w:t>
      </w:r>
      <w:r w:rsidRPr="00AE7CCD">
        <w:rPr>
          <w:sz w:val="20"/>
          <w:szCs w:val="20"/>
          <w:lang w:val="en-GB"/>
        </w:rPr>
        <w:t>Qualcomm Incorporated</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0"/>
    </w:p>
    <w:p w14:paraId="0EB59A11" w14:textId="39A4465C" w:rsidR="00AE7CCD" w:rsidRPr="00AE7CCD" w:rsidRDefault="00AE7CC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11" w:name="_Ref525913897"/>
      <w:r w:rsidRPr="00AE7CCD">
        <w:rPr>
          <w:sz w:val="20"/>
          <w:szCs w:val="20"/>
          <w:lang w:val="en-GB"/>
        </w:rPr>
        <w:t>R1-1808271</w:t>
      </w:r>
      <w:r>
        <w:rPr>
          <w:sz w:val="20"/>
          <w:szCs w:val="20"/>
          <w:lang w:val="en-GB"/>
        </w:rPr>
        <w:t>,</w:t>
      </w:r>
      <w:r w:rsidRPr="00AE7CCD">
        <w:rPr>
          <w:sz w:val="20"/>
          <w:szCs w:val="20"/>
          <w:lang w:val="en-GB"/>
        </w:rPr>
        <w:tab/>
      </w:r>
      <w:r>
        <w:rPr>
          <w:sz w:val="20"/>
          <w:szCs w:val="20"/>
          <w:lang w:val="en-GB"/>
        </w:rPr>
        <w:t>“</w:t>
      </w:r>
      <w:r w:rsidRPr="00AE7CCD">
        <w:rPr>
          <w:sz w:val="20"/>
          <w:szCs w:val="20"/>
          <w:lang w:val="en-GB"/>
        </w:rPr>
        <w:t>On frame structure design for NR-U operation</w:t>
      </w:r>
      <w:r>
        <w:rPr>
          <w:sz w:val="20"/>
          <w:szCs w:val="20"/>
          <w:lang w:val="en-GB"/>
        </w:rPr>
        <w:t xml:space="preserve">”, </w:t>
      </w:r>
      <w:r w:rsidRPr="00AE7CCD">
        <w:rPr>
          <w:sz w:val="20"/>
          <w:szCs w:val="20"/>
          <w:lang w:val="en-GB"/>
        </w:rPr>
        <w:t>MediaTek Inc.</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1"/>
    </w:p>
    <w:p w14:paraId="43137DC4" w14:textId="73737BDB" w:rsidR="00FF1DA2" w:rsidRDefault="00FF1DA2"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2" w:name="_Ref510794934"/>
      <w:r>
        <w:rPr>
          <w:sz w:val="20"/>
          <w:szCs w:val="20"/>
        </w:rPr>
        <w:t>R1-180</w:t>
      </w:r>
      <w:r w:rsidR="004B347B">
        <w:rPr>
          <w:sz w:val="20"/>
          <w:szCs w:val="20"/>
        </w:rPr>
        <w:t>8611</w:t>
      </w:r>
      <w:r>
        <w:rPr>
          <w:sz w:val="20"/>
          <w:szCs w:val="20"/>
        </w:rPr>
        <w:t>, “</w:t>
      </w:r>
      <w:r w:rsidR="004B347B">
        <w:rPr>
          <w:sz w:val="20"/>
          <w:szCs w:val="20"/>
        </w:rPr>
        <w:t>Channel access procedures</w:t>
      </w:r>
      <w:r>
        <w:rPr>
          <w:sz w:val="20"/>
          <w:szCs w:val="20"/>
        </w:rPr>
        <w:t xml:space="preserve"> for NR-U”, Apple Inc.,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2"/>
    </w:p>
    <w:p w14:paraId="4DBB39B9" w14:textId="19DB2B3A" w:rsidR="008C02EF" w:rsidRDefault="008C02EF"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3" w:name="_Ref525914517"/>
      <w:r>
        <w:rPr>
          <w:sz w:val="20"/>
          <w:szCs w:val="20"/>
        </w:rPr>
        <w:t>RP-181537, “Spectrum sharing for NR unlicensed in new bands less than 7GHz”, AT&amp;T, 3GPP RAN #81, Gold Coast, Australia, 10</w:t>
      </w:r>
      <w:r w:rsidRPr="008C02EF">
        <w:rPr>
          <w:sz w:val="20"/>
          <w:szCs w:val="20"/>
          <w:vertAlign w:val="superscript"/>
        </w:rPr>
        <w:t>th</w:t>
      </w:r>
      <w:r>
        <w:rPr>
          <w:sz w:val="20"/>
          <w:szCs w:val="20"/>
        </w:rPr>
        <w:t>-13</w:t>
      </w:r>
      <w:r w:rsidRPr="008C02EF">
        <w:rPr>
          <w:sz w:val="20"/>
          <w:szCs w:val="20"/>
          <w:vertAlign w:val="superscript"/>
        </w:rPr>
        <w:t>th</w:t>
      </w:r>
      <w:r>
        <w:rPr>
          <w:sz w:val="20"/>
          <w:szCs w:val="20"/>
        </w:rPr>
        <w:t>, September 2018.</w:t>
      </w:r>
      <w:bookmarkEnd w:id="13"/>
    </w:p>
    <w:p w14:paraId="1BA7B619" w14:textId="6BD6C362" w:rsidR="00CB65F8" w:rsidRPr="004B347B" w:rsidRDefault="00CB65F8"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4" w:name="_Ref525914856"/>
      <w:bookmarkStart w:id="15" w:name="_Ref521533395"/>
      <w:r>
        <w:rPr>
          <w:sz w:val="20"/>
          <w:szCs w:val="20"/>
        </w:rPr>
        <w:t>R1-1811119, “Channel access procedure for NR-U”, Apple Inc., 3GPP RAN1 #94bis, 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bookmarkEnd w:id="14"/>
    </w:p>
    <w:p w14:paraId="73140E2C" w14:textId="14E983F1" w:rsidR="00B00240" w:rsidRDefault="00CB65F8"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6" w:name="_Ref525914857"/>
      <w:r>
        <w:rPr>
          <w:sz w:val="20"/>
          <w:szCs w:val="20"/>
        </w:rPr>
        <w:t>R1-1811121</w:t>
      </w:r>
      <w:r w:rsidR="00FF1DA2">
        <w:rPr>
          <w:sz w:val="20"/>
          <w:szCs w:val="20"/>
        </w:rPr>
        <w:t>, “On UL signals and channels for NR-U”, Apple Inc., 3GPP RAN1 #94</w:t>
      </w:r>
      <w:r>
        <w:rPr>
          <w:sz w:val="20"/>
          <w:szCs w:val="20"/>
        </w:rPr>
        <w:t>bis</w:t>
      </w:r>
      <w:r w:rsidR="00FF1DA2">
        <w:rPr>
          <w:sz w:val="20"/>
          <w:szCs w:val="20"/>
        </w:rPr>
        <w:t xml:space="preserve">, </w:t>
      </w:r>
      <w:bookmarkEnd w:id="15"/>
      <w:r>
        <w:rPr>
          <w:sz w:val="20"/>
          <w:szCs w:val="20"/>
        </w:rPr>
        <w:t>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bookmarkEnd w:id="16"/>
    </w:p>
    <w:p w14:paraId="4C11E15B" w14:textId="77777777" w:rsidR="00FD2CEC" w:rsidRPr="009A4858" w:rsidRDefault="00FD2CEC" w:rsidP="00FD2CEC">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7" w:name="_Ref528877156"/>
      <w:r>
        <w:rPr>
          <w:sz w:val="20"/>
          <w:szCs w:val="20"/>
        </w:rPr>
        <w:t>R1-1811877, “7.2.2.2 Summary of frame structure for NR-U”, LG Electronics, 3GPP RAN1 #94bis, Chengdu, China, 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bookmarkEnd w:id="17"/>
    </w:p>
    <w:p w14:paraId="5D777D61" w14:textId="10E4375E" w:rsidR="00FD2CEC" w:rsidRPr="004B347B" w:rsidRDefault="00FD2CEC"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8" w:name="_Ref528921388"/>
      <w:r>
        <w:rPr>
          <w:sz w:val="20"/>
          <w:szCs w:val="20"/>
        </w:rPr>
        <w:t>R1-1811911, “Feature lead summary for NR-U DL signals and channels”, Motorola Mobility, Lenovo, 3GPP RAN1 #94bis, Chengdu, China, 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bookmarkEnd w:id="18"/>
    </w:p>
    <w:sectPr w:rsidR="00FD2CEC" w:rsidRPr="004B347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E78FE" w14:textId="77777777" w:rsidR="00C15BA5" w:rsidRDefault="00C15BA5">
      <w:r>
        <w:separator/>
      </w:r>
    </w:p>
  </w:endnote>
  <w:endnote w:type="continuationSeparator" w:id="0">
    <w:p w14:paraId="7834CFEB" w14:textId="77777777" w:rsidR="00C15BA5" w:rsidRDefault="00C15BA5">
      <w:r>
        <w:continuationSeparator/>
      </w:r>
    </w:p>
  </w:endnote>
  <w:endnote w:type="continuationNotice" w:id="1">
    <w:p w14:paraId="6F0F89B4" w14:textId="77777777" w:rsidR="00C15BA5" w:rsidRDefault="00C15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AE13A" w14:textId="77777777" w:rsidR="00C15BA5" w:rsidRDefault="00C15BA5">
      <w:r>
        <w:separator/>
      </w:r>
    </w:p>
  </w:footnote>
  <w:footnote w:type="continuationSeparator" w:id="0">
    <w:p w14:paraId="3B56D3EF" w14:textId="77777777" w:rsidR="00C15BA5" w:rsidRDefault="00C15BA5">
      <w:r>
        <w:continuationSeparator/>
      </w:r>
    </w:p>
  </w:footnote>
  <w:footnote w:type="continuationNotice" w:id="1">
    <w:p w14:paraId="534A9532" w14:textId="77777777" w:rsidR="00C15BA5" w:rsidRDefault="00C15B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63121"/>
    <w:multiLevelType w:val="hybridMultilevel"/>
    <w:tmpl w:val="314A3A7E"/>
    <w:lvl w:ilvl="0" w:tplc="EFD0C6F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81F38"/>
    <w:multiLevelType w:val="hybridMultilevel"/>
    <w:tmpl w:val="046057F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3"/>
  </w:num>
  <w:num w:numId="6">
    <w:abstractNumId w:val="24"/>
  </w:num>
  <w:num w:numId="7">
    <w:abstractNumId w:val="31"/>
  </w:num>
  <w:num w:numId="8">
    <w:abstractNumId w:val="14"/>
  </w:num>
  <w:num w:numId="9">
    <w:abstractNumId w:val="28"/>
  </w:num>
  <w:num w:numId="10">
    <w:abstractNumId w:val="17"/>
  </w:num>
  <w:num w:numId="11">
    <w:abstractNumId w:val="15"/>
  </w:num>
  <w:num w:numId="12">
    <w:abstractNumId w:val="32"/>
  </w:num>
  <w:num w:numId="13">
    <w:abstractNumId w:val="8"/>
  </w:num>
  <w:num w:numId="14">
    <w:abstractNumId w:val="1"/>
  </w:num>
  <w:num w:numId="15">
    <w:abstractNumId w:val="5"/>
  </w:num>
  <w:num w:numId="16">
    <w:abstractNumId w:val="34"/>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6"/>
  </w:num>
  <w:num w:numId="23">
    <w:abstractNumId w:val="33"/>
  </w:num>
  <w:num w:numId="24">
    <w:abstractNumId w:val="6"/>
  </w:num>
  <w:num w:numId="25">
    <w:abstractNumId w:val="19"/>
  </w:num>
  <w:num w:numId="26">
    <w:abstractNumId w:val="30"/>
  </w:num>
  <w:num w:numId="27">
    <w:abstractNumId w:val="2"/>
  </w:num>
  <w:num w:numId="28">
    <w:abstractNumId w:val="10"/>
  </w:num>
  <w:num w:numId="29">
    <w:abstractNumId w:val="9"/>
  </w:num>
  <w:num w:numId="30">
    <w:abstractNumId w:val="29"/>
  </w:num>
  <w:num w:numId="31">
    <w:abstractNumId w:val="7"/>
  </w:num>
  <w:num w:numId="32">
    <w:abstractNumId w:val="25"/>
  </w:num>
  <w:num w:numId="33">
    <w:abstractNumId w:val="23"/>
  </w:num>
  <w:num w:numId="34">
    <w:abstractNumId w:val="11"/>
  </w:num>
  <w:num w:numId="35">
    <w:abstractNumId w:val="22"/>
  </w:num>
  <w:num w:numId="36">
    <w:abstractNumId w:val="18"/>
  </w:num>
  <w:num w:numId="37">
    <w:abstractNumId w:val="12"/>
  </w:num>
  <w:num w:numId="3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17ED9"/>
    <w:rsid w:val="000202F4"/>
    <w:rsid w:val="000207A2"/>
    <w:rsid w:val="0002093E"/>
    <w:rsid w:val="00021321"/>
    <w:rsid w:val="00023408"/>
    <w:rsid w:val="0002564D"/>
    <w:rsid w:val="00025AC4"/>
    <w:rsid w:val="00025E2F"/>
    <w:rsid w:val="00025ECA"/>
    <w:rsid w:val="000267A1"/>
    <w:rsid w:val="00027218"/>
    <w:rsid w:val="00027844"/>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9B9"/>
    <w:rsid w:val="00065E1A"/>
    <w:rsid w:val="000668B8"/>
    <w:rsid w:val="00066994"/>
    <w:rsid w:val="00067759"/>
    <w:rsid w:val="000679D1"/>
    <w:rsid w:val="00067C00"/>
    <w:rsid w:val="000707A2"/>
    <w:rsid w:val="000708A3"/>
    <w:rsid w:val="00071F96"/>
    <w:rsid w:val="00075BB5"/>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31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1B"/>
    <w:rsid w:val="000D0DA1"/>
    <w:rsid w:val="000D0DD0"/>
    <w:rsid w:val="000D0EFF"/>
    <w:rsid w:val="000D13F7"/>
    <w:rsid w:val="000D17F5"/>
    <w:rsid w:val="000D1F2E"/>
    <w:rsid w:val="000D1F94"/>
    <w:rsid w:val="000D3138"/>
    <w:rsid w:val="000D4797"/>
    <w:rsid w:val="000D47C5"/>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0C1"/>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4FE7"/>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814"/>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024"/>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4D2A"/>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339B"/>
    <w:rsid w:val="001B4453"/>
    <w:rsid w:val="001B49EC"/>
    <w:rsid w:val="001B52B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1F76F3"/>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774"/>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4797"/>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3F6"/>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88C"/>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47C5"/>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2D64"/>
    <w:rsid w:val="003F3103"/>
    <w:rsid w:val="003F4198"/>
    <w:rsid w:val="003F41C6"/>
    <w:rsid w:val="003F43C0"/>
    <w:rsid w:val="003F5328"/>
    <w:rsid w:val="003F633D"/>
    <w:rsid w:val="003F66D2"/>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2"/>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7C4"/>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88B"/>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98"/>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47B"/>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2BD"/>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6DBE"/>
    <w:rsid w:val="00577BB1"/>
    <w:rsid w:val="0058169C"/>
    <w:rsid w:val="0058172D"/>
    <w:rsid w:val="00581F3E"/>
    <w:rsid w:val="00582809"/>
    <w:rsid w:val="00582E08"/>
    <w:rsid w:val="00583C22"/>
    <w:rsid w:val="00583C62"/>
    <w:rsid w:val="00584668"/>
    <w:rsid w:val="005852E2"/>
    <w:rsid w:val="00585462"/>
    <w:rsid w:val="005866D3"/>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287A"/>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2FB"/>
    <w:rsid w:val="0063753A"/>
    <w:rsid w:val="006377EC"/>
    <w:rsid w:val="00640116"/>
    <w:rsid w:val="006401D0"/>
    <w:rsid w:val="00640228"/>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6B9"/>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639D"/>
    <w:rsid w:val="006B796F"/>
    <w:rsid w:val="006B7ED0"/>
    <w:rsid w:val="006C0238"/>
    <w:rsid w:val="006C03B8"/>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5F6"/>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548"/>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DB8"/>
    <w:rsid w:val="00797F56"/>
    <w:rsid w:val="007A1CB3"/>
    <w:rsid w:val="007A2CF7"/>
    <w:rsid w:val="007A306F"/>
    <w:rsid w:val="007A3472"/>
    <w:rsid w:val="007A3C8F"/>
    <w:rsid w:val="007A4023"/>
    <w:rsid w:val="007A43A6"/>
    <w:rsid w:val="007A449C"/>
    <w:rsid w:val="007A4A85"/>
    <w:rsid w:val="007A5274"/>
    <w:rsid w:val="007A55EF"/>
    <w:rsid w:val="007A5706"/>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A8B"/>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51C"/>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16"/>
    <w:rsid w:val="008B4748"/>
    <w:rsid w:val="008B48C0"/>
    <w:rsid w:val="008B4C59"/>
    <w:rsid w:val="008B515C"/>
    <w:rsid w:val="008B51A0"/>
    <w:rsid w:val="008B55F4"/>
    <w:rsid w:val="008B592A"/>
    <w:rsid w:val="008B5CE9"/>
    <w:rsid w:val="008B5DC6"/>
    <w:rsid w:val="008B6712"/>
    <w:rsid w:val="008B7155"/>
    <w:rsid w:val="008B7B5C"/>
    <w:rsid w:val="008B7D6F"/>
    <w:rsid w:val="008C02E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3ADD"/>
    <w:rsid w:val="00904510"/>
    <w:rsid w:val="00904BE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A67"/>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00D"/>
    <w:rsid w:val="009545BB"/>
    <w:rsid w:val="00954F4F"/>
    <w:rsid w:val="0095518D"/>
    <w:rsid w:val="0095540B"/>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0FAF"/>
    <w:rsid w:val="009D189F"/>
    <w:rsid w:val="009D1931"/>
    <w:rsid w:val="009D1A0A"/>
    <w:rsid w:val="009D1E0C"/>
    <w:rsid w:val="009D22A0"/>
    <w:rsid w:val="009D249B"/>
    <w:rsid w:val="009D318D"/>
    <w:rsid w:val="009D326D"/>
    <w:rsid w:val="009D389D"/>
    <w:rsid w:val="009D45B9"/>
    <w:rsid w:val="009D4E0A"/>
    <w:rsid w:val="009D4EED"/>
    <w:rsid w:val="009D4FF0"/>
    <w:rsid w:val="009D5157"/>
    <w:rsid w:val="009D665B"/>
    <w:rsid w:val="009D66B1"/>
    <w:rsid w:val="009D671A"/>
    <w:rsid w:val="009D69BE"/>
    <w:rsid w:val="009D703C"/>
    <w:rsid w:val="009D718F"/>
    <w:rsid w:val="009D7272"/>
    <w:rsid w:val="009D7848"/>
    <w:rsid w:val="009D7FB5"/>
    <w:rsid w:val="009E068F"/>
    <w:rsid w:val="009E0901"/>
    <w:rsid w:val="009E0F56"/>
    <w:rsid w:val="009E13F4"/>
    <w:rsid w:val="009E14E0"/>
    <w:rsid w:val="009E16FF"/>
    <w:rsid w:val="009E1BB7"/>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08EC"/>
    <w:rsid w:val="00A4151F"/>
    <w:rsid w:val="00A41966"/>
    <w:rsid w:val="00A41E2B"/>
    <w:rsid w:val="00A42616"/>
    <w:rsid w:val="00A43184"/>
    <w:rsid w:val="00A436F3"/>
    <w:rsid w:val="00A43BBE"/>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E7CCD"/>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8A8"/>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37FCB"/>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095B"/>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4FBF"/>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1FD6"/>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BA5"/>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342F"/>
    <w:rsid w:val="00C35447"/>
    <w:rsid w:val="00C35496"/>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396F"/>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65D5"/>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65F8"/>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484"/>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37"/>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72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553"/>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5DF0"/>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405D"/>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27102"/>
    <w:rsid w:val="00F30828"/>
    <w:rsid w:val="00F3108E"/>
    <w:rsid w:val="00F31148"/>
    <w:rsid w:val="00F313D6"/>
    <w:rsid w:val="00F32120"/>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3E25"/>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804BE"/>
    <w:rsid w:val="00F817CE"/>
    <w:rsid w:val="00F81F6D"/>
    <w:rsid w:val="00F8300F"/>
    <w:rsid w:val="00F8319E"/>
    <w:rsid w:val="00F835FD"/>
    <w:rsid w:val="00F8431E"/>
    <w:rsid w:val="00F8456C"/>
    <w:rsid w:val="00F8488E"/>
    <w:rsid w:val="00F8498C"/>
    <w:rsid w:val="00F849E1"/>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65EA"/>
    <w:rsid w:val="00FC7413"/>
    <w:rsid w:val="00FC7429"/>
    <w:rsid w:val="00FC7653"/>
    <w:rsid w:val="00FC785A"/>
    <w:rsid w:val="00FC7868"/>
    <w:rsid w:val="00FD0499"/>
    <w:rsid w:val="00FD07F6"/>
    <w:rsid w:val="00FD0F14"/>
    <w:rsid w:val="00FD1E1B"/>
    <w:rsid w:val="00FD1EC8"/>
    <w:rsid w:val="00FD22FA"/>
    <w:rsid w:val="00FD2AEA"/>
    <w:rsid w:val="00FD2B52"/>
    <w:rsid w:val="00FD2CEC"/>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1DA2"/>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5540B"/>
    <w:pPr>
      <w:widowControl w:val="0"/>
      <w:numPr>
        <w:numId w:val="34"/>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5540B"/>
    <w:rPr>
      <w:rFonts w:ascii="Times New Roman" w:eastAsia="Times New Roman" w:hAnsi="Times New Roman"/>
      <w:kern w:val="2"/>
      <w:szCs w:val="24"/>
      <w:lang w:val="en-GB" w:eastAsia="en-US"/>
    </w:rPr>
  </w:style>
  <w:style w:type="paragraph" w:customStyle="1" w:styleId="References">
    <w:name w:val="References"/>
    <w:basedOn w:val="Normal"/>
    <w:rsid w:val="00AE7CCD"/>
    <w:pPr>
      <w:numPr>
        <w:numId w:val="36"/>
      </w:numPr>
      <w:autoSpaceDE w:val="0"/>
      <w:autoSpaceDN w:val="0"/>
      <w:spacing w:before="60" w:after="60" w:line="360" w:lineRule="atLeast"/>
      <w:jc w:val="both"/>
    </w:pPr>
    <w:rPr>
      <w:rFonts w:eastAsia="SimSun"/>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DCD87-6C85-7F46-833D-99FF4A73F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110</TotalTime>
  <Pages>4</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18</cp:revision>
  <cp:lastPrinted>2008-01-31T16:09:00Z</cp:lastPrinted>
  <dcterms:created xsi:type="dcterms:W3CDTF">2018-11-02T17:24:00Z</dcterms:created>
  <dcterms:modified xsi:type="dcterms:W3CDTF">2019-01-11T23:35:00Z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